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Определение необходимого количества первичных средств пожаротушения.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Комплектование импортного оборудования огнетушителями производится согласно условиям договора на его поставку.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класс А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класс В - пожары горючих жидкостей или плавящихся твердых веществ;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класс С - пожары газов;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класс D - пожары металлов и их сплавов;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класс (Е) - пожары, связанные с горением электроустановок.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Выбор типа огнетушителя (передвижной или ручной) обусловлен размерами возможных очагов пожара. При их значительных размерах необходимо использовать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7"/>
            <w:u w:val="single"/>
            <w:shd w:fill="auto" w:val="clear"/>
          </w:rPr>
          <w:t xml:space="preserve">передвижные огнетушители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Выбирая огнетушитель с соответствующим температурным пределом использования, необходимо учитывать климатические условия эксплуатации зданий и сооружений.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Если возможны комбинированные очаги пожара, то предпочтение при выборе огнетушителя отдается более универсальному по области применения.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Для предельной площади помещений разных категорий (максимальной площади, защищаемой одним или группой огнетушителей) необходимо предусматривать число огнетушителей одного из типов, указанное в таблицах 1 и 2 перед знаком "++" или "+".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общественных зданиях и сооружениях на каждом этаже должны размещаться не менее двух ручных огнетушителей.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Помещения категории Д могут не оснащаться огнетушителями, если их площадь не превышает 100 м2.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 наличии нескольких небольших помещений одной категории пожарной опасности количество необходимых огнетушителей определяется согласно п. 14 и таблицам 1 и 2 с учетом суммарной площади этих помещений.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Огнетушители, отправленные с предприятия на перезарядку, должны заменяться соответствующим количеством заряженных огнетушителей.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При защите помещений ЭВМ, телефонных станций, музеев, архивов и т.д. следует учитывать специфику взаимодействия огнетушащих веществ с защищаемыми оборудованием, изделиями, материалами и т. п. Данные помещения следует оборудовать хладоновыми и углекислотными огнетушителями с учетом предельно допустимой концентрации огнетушащего вещества.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Помещения, оборудованные автоматическими стационарными установками пожаротушения, обеспечиваются огнетушителями на 50%, исходя из их расчетного количества.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Таблица 1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Нормы оснащения помещений ручными огнетушителями</w:t>
      </w:r>
    </w:p>
    <w:tbl>
      <w:tblPr/>
      <w:tblGrid>
        <w:gridCol w:w="1408"/>
        <w:gridCol w:w="1280"/>
        <w:gridCol w:w="750"/>
        <w:gridCol w:w="1441"/>
        <w:gridCol w:w="421"/>
        <w:gridCol w:w="503"/>
        <w:gridCol w:w="577"/>
        <w:gridCol w:w="1441"/>
        <w:gridCol w:w="487"/>
        <w:gridCol w:w="1077"/>
      </w:tblGrid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помещения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Предельная защищаемая площадь, 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75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пожара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Пенные и водные огнетушители вместимостью</w:t>
            </w:r>
          </w:p>
        </w:tc>
        <w:tc>
          <w:tcPr>
            <w:tcW w:w="150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Порошковые огнетушители вместимостью, л/ массой огнетушащего вещества, кг</w:t>
            </w:r>
          </w:p>
        </w:tc>
        <w:tc>
          <w:tcPr>
            <w:tcW w:w="144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Хладоновые огнетушители вместимостью 2 (3) л</w:t>
            </w:r>
          </w:p>
        </w:tc>
        <w:tc>
          <w:tcPr>
            <w:tcW w:w="15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Углекислотные огнетушители вместимостью, л/ массой огнетушащего вещества, кг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2/2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5/4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10/9</w:t>
            </w:r>
          </w:p>
        </w:tc>
        <w:tc>
          <w:tcPr>
            <w:tcW w:w="1441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2/2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 (8)/3 (5)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А, Б,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горючие газы и жидкости)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400</w:t>
            </w: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Г, Д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1800</w:t>
            </w: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Общественные</w:t>
              <w:br/>
              <w:t xml:space="preserve">здания</w:t>
            </w:r>
          </w:p>
        </w:tc>
        <w:tc>
          <w:tcPr>
            <w:tcW w:w="128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++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+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</w:tr>
      <w:tr>
        <w:trPr>
          <w:trHeight w:val="1" w:hRule="atLeast"/>
          <w:jc w:val="left"/>
        </w:trPr>
        <w:tc>
          <w:tcPr>
            <w:tcW w:w="140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4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5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++</w:t>
            </w:r>
          </w:p>
        </w:tc>
        <w:tc>
          <w:tcPr>
            <w:tcW w:w="5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14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48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10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++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  <w:t xml:space="preserve">Примечания: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тушения пожаров различных классов порошковые огнетушители должны иметь соответствующие заряды: для класса А – порошок АВС(Е); для классов В, С и (Е) – ВС(Е) или АВС(Е) и класса D – D.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переносных пенных, водных, порошковых и углекислотных огнетушителей приведена двойная маркировка: старая маркировка по вместимости корпуса, л/ новая маркировка по массе огнетушащего состава, кг. При оснащении помещений переносными огнетушителями допускается использовать огнетушители как со старой, так и с новой маркировкой.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Знаком "++" обозначены рекомендуемые к оснащению объектов огнетушители, знаком "+" – огнетушители, применение которых допускается при отсутствии рекомендуемых и при соответствующем обосновании, знаком "–" – огнетушители, которые не допускаются для оснащения данных объектов.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В замкнутых помещениях объемом не более 50 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5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тушения пожаров вместо переносных огнетушителей, или дополнительно к ним, могут быть использованы огнетушители самосрабатывающие порошковые.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Таблица 2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Нормы оснащения помещений передвижными огнетушителями</w:t>
      </w:r>
    </w:p>
    <w:tbl>
      <w:tblPr/>
      <w:tblGrid>
        <w:gridCol w:w="1170"/>
        <w:gridCol w:w="1259"/>
        <w:gridCol w:w="737"/>
        <w:gridCol w:w="1418"/>
        <w:gridCol w:w="1843"/>
        <w:gridCol w:w="1418"/>
        <w:gridCol w:w="770"/>
        <w:gridCol w:w="770"/>
      </w:tblGrid>
      <w:tr>
        <w:trPr>
          <w:trHeight w:val="1" w:hRule="atLeast"/>
          <w:jc w:val="left"/>
        </w:trPr>
        <w:tc>
          <w:tcPr>
            <w:tcW w:w="117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Категория помещения</w:t>
            </w:r>
          </w:p>
        </w:tc>
        <w:tc>
          <w:tcPr>
            <w:tcW w:w="125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Предельная защищаемая площадь, 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73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пожара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Воздушно-пенные огнетушители вместимостью 100 л</w:t>
            </w:r>
          </w:p>
        </w:tc>
        <w:tc>
          <w:tcPr>
            <w:tcW w:w="1843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Комбинированные огнетушители вместимостью (пена, порошок), 100 л</w:t>
            </w:r>
          </w:p>
        </w:tc>
        <w:tc>
          <w:tcPr>
            <w:tcW w:w="14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Порошковые огнетушители вместимостью 100 л</w:t>
            </w:r>
          </w:p>
        </w:tc>
        <w:tc>
          <w:tcPr>
            <w:tcW w:w="154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Углекислотные огнетушители вместимостью, л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А, Б,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горючие газы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жидкости)</w:t>
            </w:r>
          </w:p>
        </w:tc>
        <w:tc>
          <w:tcPr>
            <w:tcW w:w="125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500</w:t>
            </w: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(кроме горючих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газов 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жидкостей),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1259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2+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+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</w:tr>
      <w:tr>
        <w:trPr>
          <w:trHeight w:val="1" w:hRule="atLeast"/>
          <w:jc w:val="left"/>
        </w:trPr>
        <w:tc>
          <w:tcPr>
            <w:tcW w:w="1170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9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</w:p>
        </w:tc>
        <w:tc>
          <w:tcPr>
            <w:tcW w:w="14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++</w:t>
            </w:r>
          </w:p>
        </w:tc>
        <w:tc>
          <w:tcPr>
            <w:tcW w:w="7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+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  <w:t xml:space="preserve">Примечания: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тушения очагов пожаров различных классов порошковые и комбинированные огнетушители должны иметь соответствующие заряды: для класса А – порошок АВС(Е); для класса В, С и (Е) – ВС(Е) или АВС(Е) и класса D – D.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Значения знаков "++", "+" и "–" приведены в примечании 2 таблицы 1.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Расстояние от возможного очага пожара до места размещения огнетушителя не должно превышать 20 м для общественных зданий и сооружений; 30 м для помещений категорий А, Б и В; 40 м для помещений категории Г; 70 м для помещений категории 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На объекте должно быть определено лицо, ответственное за приобретение, ремонт, сохранность и готовность к действию первичных средств пожаротушения.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Учет проверки наличия и состояния первичных средств пожаротушения следует вести в специальном журнале произвольной формы.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Каждый огнетушитель, установленный на объекте, должен иметь порядковый номер, нанесенный на корпус белой краской. На него заводят паспорт по установленной форме.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Огнетушители должны всегда содержаться в исправном состоянии, периодически осматриваться, проверяться и своевременно перезаряжаться.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В зимнее время (при температуре ниже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С) огнетушители с зарядом на водной основе необходимо хранить в отапливаемых помещениях.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Размещение первичных средств пожаротушения в коридорах, проходах не должно препятствовать безопасной эвакуации людей. Их следует располагать на видных местах вблизи от выходов из помещений на высоте не более 1,5 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Асбестовое полотно, войлок (кошму) рекомендуется хранить в металлических футлярах с крышками, периодически (не реже 1 раза в три месяца) просушивать и очищать от пыли.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технологических установок этих предприятий на расстояние более 100 м от наружных пожарных водоисточников, должны оборудоваться пожарные щиты. Необходимое количество пожарных щитов и их тип определяются в зависимости от категории помещений, зданий (сооружений) и наружных технологических установок по взрывопожарной и пожарной опасности, предельной защищаемой площади одним пожарным щитом и класса пожара в соответствии с таблицей 3.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Таблица 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Нормы оснащения зданий (сооружений) и территорий пожарными щитами</w:t>
      </w:r>
    </w:p>
    <w:tbl>
      <w:tblPr/>
      <w:tblGrid>
        <w:gridCol w:w="374"/>
        <w:gridCol w:w="5018"/>
        <w:gridCol w:w="2342"/>
        <w:gridCol w:w="952"/>
        <w:gridCol w:w="699"/>
      </w:tblGrid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50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Предельная защищаемая площадь одним пожарным щитом, 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пожара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щита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0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А, Б и В (горючие газы и жидкости)</w:t>
            </w:r>
          </w:p>
        </w:tc>
        <w:tc>
          <w:tcPr>
            <w:tcW w:w="234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ЩП-А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ЩП-В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Е)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ЩП-Е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0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(твердые горючие вещества и материалы)</w:t>
            </w:r>
          </w:p>
        </w:tc>
        <w:tc>
          <w:tcPr>
            <w:tcW w:w="234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400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ЩП-А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ЩП-Е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01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 и Д</w:t>
            </w:r>
          </w:p>
        </w:tc>
        <w:tc>
          <w:tcPr>
            <w:tcW w:w="2342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1800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ЩП-А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ЩП-В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ЩП-Е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0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ЩП-СХ</w:t>
            </w:r>
          </w:p>
        </w:tc>
      </w:tr>
      <w:tr>
        <w:trPr>
          <w:trHeight w:val="1" w:hRule="atLeast"/>
          <w:jc w:val="left"/>
        </w:trPr>
        <w:tc>
          <w:tcPr>
            <w:tcW w:w="3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01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Помещения различного назначения при проведении сварочных или других огнеопасных работ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</w:tc>
        <w:tc>
          <w:tcPr>
            <w:tcW w:w="95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</w:tc>
        <w:tc>
          <w:tcPr>
            <w:tcW w:w="6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ЩПП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  <w:t xml:space="preserve">Обозначения: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br/>
        <w:t xml:space="preserve">ЩП-А - щит пожарный для очагов пожара класса А;</w:t>
        <w:br/>
        <w:t xml:space="preserve">ЩП-В – щит пожарный для очагов пожара класса В;</w:t>
        <w:br/>
        <w:t xml:space="preserve">ЩП-Е - щит пожарный для очагов пожара класса Е;</w:t>
        <w:br/>
        <w:t xml:space="preserve">ЩП-СХ - щит пожарный для сельскохозяйственных предприятий (организаций);</w:t>
        <w:br/>
        <w:t xml:space="preserve">ЩПП – щит пожарный передвижной.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22.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Пожарные щиты комплектуются первичными средствами пожаротушения, немеханизированным пожарным инструментом и инвентарем в соответствии с табл. 4.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Таблица 4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Нормы комплектации пожарных щитов немеханизированным инструментом и инвентарем</w:t>
      </w:r>
    </w:p>
    <w:tbl>
      <w:tblPr/>
      <w:tblGrid>
        <w:gridCol w:w="445"/>
        <w:gridCol w:w="4476"/>
        <w:gridCol w:w="919"/>
        <w:gridCol w:w="912"/>
        <w:gridCol w:w="912"/>
        <w:gridCol w:w="880"/>
        <w:gridCol w:w="841"/>
      </w:tblGrid>
      <w:tr>
        <w:trPr>
          <w:trHeight w:val="1" w:hRule="atLeast"/>
          <w:jc w:val="center"/>
        </w:trPr>
        <w:tc>
          <w:tcPr>
            <w:tcW w:w="44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476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464" w:type="dxa"/>
            <w:gridSpan w:val="5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Нормы комплектации в зависимости от типа пожарного щита и класса пожара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ЩП-А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А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ЩП-В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В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ЩП-Е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 Е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ЩП-СХ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ЩПП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Огнетушители: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пенные и водные вместимостью, л/массой огнетушащего состава, кг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порошковые (ОП) вместимостью, л/массой огнетушащего состава, кг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10/9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++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++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++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5/4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углекислотные (ОУ) вместимостью, л/ массой огнетушащего состава, кг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   5/3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+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Лом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Багор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Крюк с деревянной рукояткой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Ведро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 для резки электропроводов: ножницы, диэлектрические боты и коврик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Лопата штыковая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Лопата совковая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Вилы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Тележка для перевозки оборудования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Емкость для хранения воды объемом: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0,02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3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Ящик с песком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Насос ручной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Рукав Ду 18-20 длиной 5м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Защитный экран 1,4 х 2 м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center"/>
        </w:trPr>
        <w:tc>
          <w:tcPr>
            <w:tcW w:w="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4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Стойки для подвески экранов</w:t>
            </w:r>
          </w:p>
        </w:tc>
        <w:tc>
          <w:tcPr>
            <w:tcW w:w="91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7"/>
          <w:shd w:fill="auto" w:val="clear"/>
        </w:rPr>
        <w:t xml:space="preserve">Примечания: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 </w:t>
        <w:br/>
        <w:t xml:space="preserve">1.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тушения пожаров различных классов порошковые огнетушители должны иметь соответствующие заряды: для класса А - порошок АВС(Е), классов В и (Е) - ВС(Е) или АВС(Е).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Значения знаков “++”, “+” и “-” приведены в примечании 2 таблицы 1 приложения № 3.</w:t>
        <w:br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7"/>
          <w:shd w:fill="auto" w:val="clear"/>
        </w:rPr>
        <w:t xml:space="preserve">Для переносных пенных, водных, порошковых и углекислотных огнетушителей приведена двойная маркировка: старая маркировка по вместимости корпуса, л/ новая маркировка по массе огнетушащего состава, кг. При оснащении пожарных щитов переносными огнетушителями допускается использовать огнетушители как со старой, так и с новой маркировкой.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Бочки для хранения воды, устанавливаемые рядом с пожарным щитом, должны иметь объем не менее 0,2 м3 и комплектоваться ведрами. Ящики для песка должны иметь объем 0,5; 1,0 или 3,0 м3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Ящики с песком, как правило, должны устанавливать со щитами в помещениях или на открытых площадках, где возможен розлив легковоспламеняющихся или горючих жидкостей.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Для помещений и наружных технологических установок категории А, Б и В по взрывопожарной и пожарной опасности запас песка в ящиках должен быть не менее 0,5 м3 на каждые 500 м2 защищаемой площади, а для помещений и наружных технологических установок категории Г и Д не менее 0,5 м3 на каждую 1000 м2 защищаемой площади.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Асбестовые полотна, грубошерстные ткани или войлок должны быть размером не менее 1х1 м и предназначены для тушения очагов пожара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2х1,5 м или 2х2 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применить эти средства в случае пожара. Указанные средства должны не реже одного раза в 3 месяца просушиваться и очищаться от пыли.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unfire-shop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